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F318" w14:textId="77777777" w:rsidR="00FA2C6C" w:rsidRDefault="00FA2C6C" w:rsidP="00172407">
      <w:pPr>
        <w:bidi/>
        <w:ind w:firstLine="10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</w:pPr>
    </w:p>
    <w:p w14:paraId="6B226859" w14:textId="3316CCB9" w:rsidR="00FE27A4" w:rsidRDefault="00FA2C6C" w:rsidP="00172407">
      <w:pPr>
        <w:bidi/>
        <w:ind w:firstLine="10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</w:pPr>
      <w:r w:rsidRPr="00FA2C6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 </w:t>
      </w:r>
      <w:r w:rsidRPr="00172407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>ال</w:t>
      </w:r>
      <w:r w:rsidR="00FE27A4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تاريخ و </w:t>
      </w:r>
      <w:r w:rsidR="00CF2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>سياقات التلقي</w:t>
      </w:r>
    </w:p>
    <w:p w14:paraId="60173E01" w14:textId="41FF4D52" w:rsidR="00CF2053" w:rsidRDefault="00CF2053" w:rsidP="00CF2053">
      <w:pPr>
        <w:bidi/>
        <w:ind w:firstLine="10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 أ.د. إسماعيل نوري الربيعي</w:t>
      </w:r>
    </w:p>
    <w:p w14:paraId="7A462B76" w14:textId="02731971" w:rsidR="00147BF5" w:rsidRDefault="00147BF5" w:rsidP="00147BF5">
      <w:pPr>
        <w:bidi/>
        <w:ind w:firstLine="1008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 كلية الآداب و العلوم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 الجامعة الأهلية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BH"/>
        </w:rPr>
        <w:t>–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 البحرين </w:t>
      </w:r>
    </w:p>
    <w:p w14:paraId="1A3126FD" w14:textId="23621E3C" w:rsidR="00FA2C6C" w:rsidRDefault="00FE27A4" w:rsidP="00FE27A4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أين نحن من طريقة </w:t>
      </w:r>
      <w:r w:rsidR="00FA2C6C">
        <w:rPr>
          <w:rFonts w:ascii="Simplified Arabic" w:hAnsi="Simplified Arabic" w:cs="Simplified Arabic" w:hint="cs"/>
          <w:sz w:val="24"/>
          <w:szCs w:val="24"/>
          <w:rtl/>
          <w:lang w:bidi="ar-BH"/>
        </w:rPr>
        <w:t>التمييز المدقق للمصطلح العلمي و طريقة التعاطي م</w:t>
      </w:r>
      <w:r w:rsidR="00C76747">
        <w:rPr>
          <w:rFonts w:ascii="Simplified Arabic" w:hAnsi="Simplified Arabic" w:cs="Simplified Arabic" w:hint="cs"/>
          <w:sz w:val="24"/>
          <w:szCs w:val="24"/>
          <w:rtl/>
          <w:lang w:bidi="ar-BH"/>
        </w:rPr>
        <w:t>ع</w:t>
      </w:r>
      <w:r w:rsidR="00FA2C6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ه، وبالتالي القدرة على استثماره في البحث و الدراسة. و 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كيف يمكن النظر </w:t>
      </w:r>
      <w:r w:rsidR="00FA2C6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إلى أحوال التداخل المستشرية في المزيد من القراءات لا سيما في الثقافة العربية، مما كان الأثر المباشر في خلق أحوال سوءالفهم لدى جمهور الباحثين و المتلقين العرب. أزمة المصطلح ما انفكت </w:t>
      </w:r>
      <w:r w:rsidR="00B770B6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تحضر و هي ليست بالجديدة بل راحت تكشر عن انيابها في ظل انتشار وسائل التواصل الاجتماعي و توسع مجال المساهمة من غير المتخصصين، لتبرز للعيان ظاهرة تداخل المواقع. حتى  بات من العسير تمييز الجاد و الرصين عن الغث و الهزيل. </w:t>
      </w:r>
    </w:p>
    <w:p w14:paraId="23F6530C" w14:textId="62B8C7A1" w:rsidR="00B770B6" w:rsidRDefault="00B770B6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الفكرة الرئيسة 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هنا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ترتكز على أهمية الوعي بقيمة التطبيق المنهجي في الدراسات الإنسانية، و تلك هي الأخرى إشكالية لم تزل ت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>فرض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بثقلها على واقع الدراسات العربية. فقد أحال البعض من الباحثين التطبيق المنهجي إلى أسلوب إملأ الفراغات التالية ، باعتبار التطلع نحو تمييز المفاصل الرئيسة في منهج علمي ما ، نال شهرته و صيته عبر التداول في الوسط الأكاديمي و الثقافي. ليتطوع الباحث في استلال العناوين الرئيسة ، و السعي نحو الخوض في المطابقة الصورية ، و التي لا ينجم عنها سوى الخروج بعناوين براقة ، لاتتضمن أي عمق تحليلي علمي.  استمراء لعبة توظيف المنهج بوصفه مدخلا</w:t>
      </w:r>
      <w:r w:rsidR="00E2288A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للفت الانتباه، أضرت كثيرا بسمعة التطبيقات المنهجية ، بل ساهمت في خلق أجواء من الانقسام في طريقة النظر إلى المناهج و التشكيك فيها. </w:t>
      </w:r>
    </w:p>
    <w:p w14:paraId="16EFEF25" w14:textId="2BEEB0D0" w:rsidR="00E2288A" w:rsidRPr="00FA2C6C" w:rsidRDefault="00FE27A4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لابد من التشديد</w:t>
      </w:r>
      <w:r w:rsidR="00E2288A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على أهمية الجهود التي قدمتها المؤسسة الأكاديمية و الثقافية العربية ، و لها الحق أن تفخر بأسماء ذهبية استحقت أن تحفر أسماءها بماء الذهب. و لكن يبقى الإشكال قائما لا سيما في طريقة التعاطي مع ترجمة المصطلح العلمي الذي أثار المزيد من المشكلات، بل و تسلل الكثير من الخلط في طريقة إنتاج المعنى . هذه الظاهرة يمكن ترصدها في المشرق العربي حيث أحوال التكاسل في طريقة التعاطي مع اللغة الإنكليزية، فيما المغرب العربي استثمر انتشار اللغة الفرنسية</w:t>
      </w:r>
      <w:r w:rsid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، و التي لم تنج هي الأخرى من طريقة المبالغة في تقعير و تعقيد المصطلح العلمي. </w:t>
      </w:r>
    </w:p>
    <w:p w14:paraId="7786B8D8" w14:textId="597D9C62" w:rsidR="00D51C4F" w:rsidRDefault="00FE27A4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لنتوقف هنا عند قراءة</w:t>
      </w:r>
      <w:r w:rsidR="00A66DF8" w:rsidRP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حالة العراق</w:t>
      </w:r>
      <w:r w:rsid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>، محاول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ين</w:t>
      </w:r>
      <w:r w:rsid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التوقف عند اللحظات التاريخية التي كان لها الأثر المباشر في صناعة و تكوين الكيان السياسي العراقي. منطلق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ين</w:t>
      </w:r>
      <w:r w:rsid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من لحظة س</w:t>
      </w:r>
      <w:r w:rsidR="00DF7E82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ياق </w:t>
      </w:r>
      <w:r w:rsidR="00A66DF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الهيمنة الذي يمثله </w:t>
      </w:r>
      <w:r w:rsidR="00DF7E82">
        <w:rPr>
          <w:rFonts w:ascii="Simplified Arabic" w:hAnsi="Simplified Arabic" w:cs="Simplified Arabic" w:hint="cs"/>
          <w:sz w:val="24"/>
          <w:szCs w:val="24"/>
          <w:rtl/>
          <w:lang w:bidi="ar-BH"/>
        </w:rPr>
        <w:t>صانع القرار في لندن : ممثلا في رئيس الوزراء لويد جورج و وزير المستعمرات ونستون تشرشل، يقابله في الطرف الآخر الجهاز التنفيذي ممثلا في برسي كوكس المندوب السامي البريطاني و إدارته الميدانية في العراق. الأمر هنا يتعلق بمحاولة ترصد لحظة تشكيل الكيان العراقي بوصفه فكرة ، انطلاقا من تعالق السؤال الشائك و الذي اختلف فيه المؤرخون و الباحثون. و الذي يقوم على ، هل العراق وليد اتفاقية سايكس بيكو 1916، أم هو نتيجة تفاعل سياقات تاريخية لاحقة؟</w:t>
      </w:r>
    </w:p>
    <w:p w14:paraId="307FD887" w14:textId="7BEB1B46" w:rsidR="00C76747" w:rsidRDefault="00DF7E82" w:rsidP="00D51C4F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من دون الخوض في ترجيح واقعة على أخرى أو الوقوع في لوثة تكريس أهمية عامل على آخر ، 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يقترح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الباحث الرجوع إلى الأرشيف الوطني البريطاني، مستحضر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ين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الوثائق التاريخية المتاحة لتداول الجمهور ، ساعي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ين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إلى إعادة 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lastRenderedPageBreak/>
        <w:t>قراءتها و الكشف عن العناصر الرئيسة الفاعلة في صناعة الحدث، متوقف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ين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و بتركيز شديد على واقعة لقاء رئيس وزراء فرنسا كليمنصو بنظيره البريطاني في مقر السفارة الف</w:t>
      </w:r>
      <w:r w:rsidR="00863237">
        <w:rPr>
          <w:rFonts w:ascii="Simplified Arabic" w:hAnsi="Simplified Arabic" w:cs="Simplified Arabic" w:hint="cs"/>
          <w:sz w:val="24"/>
          <w:szCs w:val="24"/>
          <w:rtl/>
          <w:lang w:bidi="ar-BH"/>
        </w:rPr>
        <w:t>ر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ن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سية في لندن في الأول من دسيمبر 1918. </w:t>
      </w:r>
      <w:r w:rsidR="0086323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هذا اللقاء يحتل أهمية استثنائية في طريقة إعادة النظر في فكرة تكوين العراق، بشكله المتعارف عليه اليوم . لقاء تفاوضي بين سياسيين خرجا من الحرب العالمية الأولى منتصرين. لكن السياق التاريخي يفرز المزيد من التداعيات.  الأمر الذي يجعل أحوال التدبير و التفعيل قائمة و حاضرة ، و غير قابلة للسقوط في نشوة الانتصار. بل أن فكرة الانتصار بذاتها تحفز هذين الطرفين نحو خطوة أخرى أكثر تعقيدا ممثلة في ( </w:t>
      </w:r>
      <w:r w:rsidR="00863237" w:rsidRPr="00C767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>استثمار الفوز</w:t>
      </w:r>
      <w:r w:rsidR="00863237">
        <w:rPr>
          <w:rFonts w:ascii="Simplified Arabic" w:hAnsi="Simplified Arabic" w:cs="Simplified Arabic" w:hint="cs"/>
          <w:sz w:val="24"/>
          <w:szCs w:val="24"/>
          <w:rtl/>
          <w:lang w:bidi="ar-BH"/>
        </w:rPr>
        <w:t>).  و هكذا ي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ُ</w:t>
      </w:r>
      <w:r w:rsidR="00863237">
        <w:rPr>
          <w:rFonts w:ascii="Simplified Arabic" w:hAnsi="Simplified Arabic" w:cs="Simplified Arabic" w:hint="cs"/>
          <w:sz w:val="24"/>
          <w:szCs w:val="24"/>
          <w:rtl/>
          <w:lang w:bidi="ar-BH"/>
        </w:rPr>
        <w:t>برز السياق التاريخي انتفاء قيمة معاهدة سايكس بيكو</w:t>
      </w:r>
      <w:r w:rsidR="008778D8" w:rsidRPr="008778D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8778D8">
        <w:rPr>
          <w:rFonts w:ascii="Simplified Arabic" w:hAnsi="Simplified Arabic" w:cs="Simplified Arabic" w:hint="cs"/>
          <w:sz w:val="24"/>
          <w:szCs w:val="24"/>
          <w:rtl/>
          <w:lang w:bidi="ar-BH"/>
        </w:rPr>
        <w:t>و عدم جدواها</w:t>
      </w:r>
      <w:r w:rsidR="0086323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بعد أن كشف عنها البلاشفة الروس</w:t>
      </w:r>
      <w:r w:rsidR="00796D2F">
        <w:rPr>
          <w:rFonts w:ascii="Simplified Arabic" w:hAnsi="Simplified Arabic" w:cs="Simplified Arabic" w:hint="cs"/>
          <w:sz w:val="24"/>
          <w:szCs w:val="24"/>
          <w:rtl/>
          <w:lang w:bidi="ar-BH"/>
        </w:rPr>
        <w:t>. ليكون التطلع نحو تفعيل مجال الموجهات و الأهداف المستجدة و التي أفرزتها الأحداث المتلاحقة ، هذا بحساب الزمن السياسي المتسارع. فكان التسابق نحو التماهي مع اللحظة. الجانب الفرنسي يسعى للحصول على دعم بريطاني في قضية التفاوض</w:t>
      </w:r>
      <w:r w:rsidR="00C7674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، 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>و</w:t>
      </w:r>
      <w:r w:rsidR="00C7674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هذا الأخير </w:t>
      </w:r>
      <w:r w:rsidR="008778D8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لم يتوان عن استثمار</w:t>
      </w:r>
      <w:r w:rsidR="00C7674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اللحظة للحصول على المكافئات المجزية. </w:t>
      </w:r>
    </w:p>
    <w:p w14:paraId="00FF8DF6" w14:textId="0582563A" w:rsidR="000C275C" w:rsidRDefault="008778D8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الدرس التاريخي يتوقف عند المو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>ّ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جه المعرفي الرئيس و المتمثل في أهمية ال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إدراك العميق 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بأن وعي الراهن يختلف عن وعي الماضي، هذا بحساب أن لكل مرحلة تاريخية نظامها المعرفي الخاص بها. 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مشكلة اليوم تختلف جذريا عن مشكلة الأمس. الأمر هنا يرتبط بطريقة التفكير و سياق التلقي، قد يتبدى التشابه حاضرا ، و في الكثير من الأحيان مربكا إلى حد التطلبق، لكن يبقى الأهم في كل هذا إنما يقوم على أهمية الوقوف عند دالة ( </w:t>
      </w:r>
      <w:r w:rsidR="0001659E" w:rsidRPr="00D51C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>الوضع التاريخي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>). ذهنية السابق محكومة بسياقاتها الخاصة، و لحظتها التار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>ي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خية الموغلة بالخصوصية و الموصوفة بــ ( </w:t>
      </w:r>
      <w:r w:rsidR="0001659E" w:rsidRPr="00D51C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>النظام المعرفي الخاص</w:t>
      </w:r>
      <w:r w:rsidR="0001659E">
        <w:rPr>
          <w:rFonts w:ascii="Simplified Arabic" w:hAnsi="Simplified Arabic" w:cs="Simplified Arabic" w:hint="cs"/>
          <w:sz w:val="24"/>
          <w:szCs w:val="24"/>
          <w:rtl/>
          <w:lang w:bidi="ar-BH"/>
        </w:rPr>
        <w:t>)</w:t>
      </w:r>
      <w:r w:rsidR="009F1EF5">
        <w:rPr>
          <w:rFonts w:ascii="Simplified Arabic" w:hAnsi="Simplified Arabic" w:cs="Simplified Arabic" w:hint="cs"/>
          <w:sz w:val="24"/>
          <w:szCs w:val="24"/>
          <w:rtl/>
          <w:lang w:bidi="ar-BH"/>
        </w:rPr>
        <w:t>. ما كان بالأمس محرما ، يصبح تلقيه في الراهن المعاش مقبولأ و أكثر قابلية للتداول. و عبر هذا التصور تتبدى أهمية إمعان النظر في طريقة التفكير و المواقف من قض</w:t>
      </w:r>
      <w:r w:rsidR="000C275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ايا حقوق الإنسان و المرأة و التمييز العنصري، و طبيعة التعاطي مع المواقف السياسية و الاجتماعية و الثقافية. </w:t>
      </w:r>
    </w:p>
    <w:p w14:paraId="74926722" w14:textId="665A1CD6" w:rsidR="003204C5" w:rsidRDefault="000C275C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>ثنائية السابق و اللاحق تكون بمثابة الكشف عن اساليب و مستويات التعاطي مع القضايا الأكثر إلحاحا في المحيط الاجتماعي. السابق كانت حدود الوضعية التاريخية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فيه </w:t>
      </w: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، تمارس عليه التقنين المعرفي و الجاهزية و التنميط، فيما الحاضر المتفاعل في خضم الثورة المعرفية و  الاتصالية و تنامي دور وسائط التواصل الاجتماعي، كان له الدور الأهم في انبثاق موجهات التفكير الجديدة ، تلك التي تتساوق مع طروحا من نوع ؛ التاريخ الجديد. حيث الإعلاء من أهمية الانفتاح على التخصصات المتنوعة و المختلفة . و حث الموجهات المعرفية نحو تناول موضوعات المسكوت عنه و المضمر و الكامن و اللامفكر فيه. حيث حث التطلع نحو إعادة النظر في أن التاريخ لا يمثل الحقيقة المطلقة بقدر ما هو ، تمثيل للنسبي في خضم العلاقة مع الواقع. و هكذا يكون التوجه نحو استثمار قراءة المزيد من الحقول في الواقعة التاريخية مثل؛ الذهنيات، المشاعر، الأوهام</w:t>
      </w:r>
      <w:r w:rsidR="003204C5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، إعادة النظر في اليقينيات. قراءة لا تزعم بلوغ الحقيقة ، بقدر ما تحاول استثمار الشواهد و الرموز و الوثائق و العلامات و التداعيات، تلك التي تفعل أفاعليها و تترك آثارها على المجمل من المدركات السياسية و الاقتصادية و الاجتماعية و القانونية و الثقافية. </w:t>
      </w:r>
    </w:p>
    <w:p w14:paraId="52D58833" w14:textId="138BCEC3" w:rsidR="00873EF9" w:rsidRDefault="003204C5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lastRenderedPageBreak/>
        <w:t xml:space="preserve">انه المسعى نحو </w:t>
      </w:r>
      <w:r w:rsidR="00BD651A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توجيه الأنظار نحو امكانية توظيف مفهوم ( </w:t>
      </w:r>
      <w:r w:rsidR="00BD651A" w:rsidRPr="00FE27A4">
        <w:rPr>
          <w:rFonts w:ascii="Simplified Arabic" w:hAnsi="Simplified Arabic" w:cs="Simplified Arabic" w:hint="cs"/>
          <w:b/>
          <w:bCs/>
          <w:sz w:val="24"/>
          <w:szCs w:val="24"/>
          <w:rtl/>
          <w:lang w:bidi="ar-BH"/>
        </w:rPr>
        <w:t xml:space="preserve">الفترة الطويلة </w:t>
      </w:r>
      <w:r w:rsidR="00BD651A" w:rsidRPr="00FE27A4">
        <w:rPr>
          <w:rFonts w:ascii="Simplified Arabic" w:hAnsi="Simplified Arabic" w:cs="Simplified Arabic"/>
          <w:b/>
          <w:bCs/>
          <w:sz w:val="24"/>
          <w:szCs w:val="24"/>
          <w:lang w:bidi="ar-BH"/>
        </w:rPr>
        <w:t xml:space="preserve"> Long term</w:t>
      </w:r>
      <w:r w:rsidR="00BD651A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) بكل ما فيه من أنساق و أساليب عمل و تأثيرات، كل هذا يكون مشفوعا </w:t>
      </w:r>
      <w:r w:rsidR="00D258E0">
        <w:rPr>
          <w:rFonts w:ascii="Simplified Arabic" w:hAnsi="Simplified Arabic" w:cs="Simplified Arabic"/>
          <w:sz w:val="24"/>
          <w:szCs w:val="24"/>
          <w:lang w:bidi="ar-BH"/>
        </w:rPr>
        <w:t>(</w:t>
      </w:r>
      <w:r w:rsidR="00D258E0">
        <w:rPr>
          <w:rStyle w:val="FootnoteReference"/>
          <w:rFonts w:ascii="Simplified Arabic" w:hAnsi="Simplified Arabic" w:cs="Simplified Arabic"/>
          <w:sz w:val="24"/>
          <w:szCs w:val="24"/>
          <w:lang w:bidi="ar-BH"/>
        </w:rPr>
        <w:footnoteReference w:id="1"/>
      </w:r>
      <w:r w:rsidR="00D258E0">
        <w:rPr>
          <w:rFonts w:ascii="Simplified Arabic" w:hAnsi="Simplified Arabic" w:cs="Simplified Arabic"/>
          <w:sz w:val="24"/>
          <w:szCs w:val="24"/>
          <w:lang w:bidi="ar-BH"/>
        </w:rPr>
        <w:t>)</w:t>
      </w:r>
      <w:r w:rsidR="000C275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C109A9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بالطروحات التي أسست لها مدرسة الحوليات التاريخية و الجهود التي بذلها فرديناد بروديل</w:t>
      </w:r>
      <w:r w:rsidR="00BB603C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C109A9">
        <w:rPr>
          <w:rFonts w:ascii="Simplified Arabic" w:hAnsi="Simplified Arabic" w:cs="Simplified Arabic" w:hint="cs"/>
          <w:sz w:val="24"/>
          <w:szCs w:val="24"/>
          <w:rtl/>
          <w:lang w:bidi="ar-BH"/>
        </w:rPr>
        <w:t>في طريقة تمييز النظر حول الزمن ، و اجتراح مفاهيم  مثل: الزمن الجغرافي الثابت ، و الزمن السياسي السريع، و ال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>ز</w:t>
      </w:r>
      <w:r w:rsidR="00C109A9">
        <w:rPr>
          <w:rFonts w:ascii="Simplified Arabic" w:hAnsi="Simplified Arabic" w:cs="Simplified Arabic" w:hint="cs"/>
          <w:sz w:val="24"/>
          <w:szCs w:val="24"/>
          <w:rtl/>
          <w:lang w:bidi="ar-BH"/>
        </w:rPr>
        <w:t>من الثقافي البطيء. الأمر برمته منوط بطريقة التعاطي مع التاريخ، فهل هو الغاية و الهدف المرسوم و المنشود،  أم هو عبارة عن حقل معرفي يحتوي على المزيد من المسارات</w:t>
      </w:r>
      <w:r w:rsidR="00FE27A4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؟ </w:t>
      </w:r>
      <w:r w:rsidR="00C109A9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إذ لم يعد من المجدي التعاطي مع التاريخ و فقا لسير الأبطال و الأحداث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C109A9">
        <w:rPr>
          <w:rFonts w:ascii="Simplified Arabic" w:hAnsi="Simplified Arabic" w:cs="Simplified Arabic" w:hint="cs"/>
          <w:sz w:val="24"/>
          <w:szCs w:val="24"/>
          <w:rtl/>
          <w:lang w:bidi="ar-BH"/>
        </w:rPr>
        <w:t>و قيام الإمبراطوريات و سقوطها، و ماذا يحب هذا القائد و ماذا يكره؟ إذ</w:t>
      </w:r>
      <w:r w:rsidR="00873EF9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انيطت هذه المهمة بمحرك البحث </w:t>
      </w:r>
      <w:r w:rsidR="00873EF9">
        <w:rPr>
          <w:rFonts w:ascii="Simplified Arabic" w:hAnsi="Simplified Arabic" w:cs="Simplified Arabic"/>
          <w:sz w:val="24"/>
          <w:szCs w:val="24"/>
          <w:lang w:bidi="ar-BH"/>
        </w:rPr>
        <w:t xml:space="preserve"> Google</w:t>
      </w:r>
      <w:r w:rsidR="00873EF9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، و الذي راح يؤديها بمهارة تفوق أعتى المؤرخين التقليديين  مهارة و دربة . الأمر هنا يتعلق بأهمية البحث في موقع المؤرخ و طريقة التعاطي مع زاوية النظر إلى التاريخ ذاته، بوصفه حاملا لعلاقات القوة و السلطة داخل المحيط الاجتماعي، حيث المسعى نحو فرز موجهات التأثير و النفوذ و الهمينة، و بهذا تتجلى أهمية التاريخ بوصفه حقلا مكتنزا بالمعطيات المعرفية ، و ليس الحقائق المطلقة .</w:t>
      </w:r>
    </w:p>
    <w:p w14:paraId="3905783A" w14:textId="2556FF88" w:rsidR="00AD2967" w:rsidRDefault="00873EF9" w:rsidP="00172407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التاريخ تفعيل و تثمير للتفاصيل التي يزخر بها الواقع، بكل مافيه من رسمي و شعبي، نخبوي و شائع و عام، رفيع و هامشي، ملهاة و مأساة، مهم و غير مهم. ألوان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، علامات، ارتقاء و نكوص، هزائم و انكسارات، و انتصارات و مجد و تحليق. إنه التطلع نحو قراءة المجال الذهني، نائيا بنفسه عن ممارسة الاسقاط التاريخي، إنه المبحث العميق و الدال في صميم التفاعلات داخل الميكرو </w:t>
      </w:r>
      <w:r w:rsid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Micro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الاجتماعي ، و التوجه نحو تمييز مفاصل </w:t>
      </w:r>
      <w:r w:rsid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الماكرو </w:t>
      </w:r>
      <w:r w:rsid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Macro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الاجتماعي، مهمة قوامها البحث في المواقف و السعي نحو الإمساك بخيط المخاض الإنساني في ذروة اشتغاله في الواقعي المعاش الحي. مهمة المؤرخ الراهن شاقة وشديدة التعقيد حتى أن </w:t>
      </w:r>
      <w:r w:rsidR="00CD23A1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المؤرخ الفرنسي </w:t>
      </w:r>
      <w:r w:rsidR="00B939EE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>فرانسوا دوس</w:t>
      </w:r>
      <w:r w:rsidR="00622CCB" w:rsidRP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</w:t>
      </w:r>
      <w:r w:rsidR="00622CCB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622CCB">
        <w:t xml:space="preserve">François </w:t>
      </w:r>
      <w:proofErr w:type="spellStart"/>
      <w:r w:rsidR="00622CCB">
        <w:t>Dosse</w:t>
      </w:r>
      <w:proofErr w:type="spellEnd"/>
      <w:r w:rsidR="00CD23A1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لا يتردد من إطلاق توصيف </w:t>
      </w:r>
      <w:r w:rsidR="00B939EE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الانتحار المزدوج</w:t>
      </w:r>
      <w:r w:rsidR="00401E58" w:rsidRP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</w:t>
      </w:r>
      <w:r w:rsidR="00401E58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401E58" w:rsidRPr="00CD23A1">
        <w:rPr>
          <w:rFonts w:ascii="Simplified Arabic" w:hAnsi="Simplified Arabic" w:cs="Simplified Arabic"/>
          <w:sz w:val="24"/>
          <w:szCs w:val="24"/>
          <w:lang w:bidi="ar-BH"/>
        </w:rPr>
        <w:t>double suicide</w:t>
      </w:r>
      <w:r w:rsidR="00632692" w:rsidRPr="00CD23A1">
        <w:rPr>
          <w:rFonts w:ascii="Simplified Arabic" w:hAnsi="Simplified Arabic" w:cs="Simplified Arabic"/>
          <w:sz w:val="24"/>
          <w:szCs w:val="24"/>
          <w:lang w:bidi="ar-BH"/>
        </w:rPr>
        <w:t xml:space="preserve"> </w:t>
      </w:r>
      <w:r w:rsidR="00632692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>(</w:t>
      </w:r>
      <w:r w:rsidR="00632692">
        <w:rPr>
          <w:rStyle w:val="FootnoteReference"/>
          <w:rFonts w:ascii="Simplified Arabic" w:hAnsi="Simplified Arabic" w:cs="Simplified Arabic"/>
          <w:sz w:val="24"/>
          <w:szCs w:val="24"/>
          <w:rtl/>
          <w:lang w:bidi="ar-BH"/>
        </w:rPr>
        <w:footnoteReference w:id="2"/>
      </w:r>
      <w:r w:rsidR="00632692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>)</w:t>
      </w:r>
      <w:r w:rsidR="00B939EE" w:rsidRP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على موقف المؤرخ الراهن من طريقة التعاطي مع مفهوم التاريخ حيث الخيار الذي يكاد يكون مبه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>م</w:t>
      </w:r>
      <w:r w:rsidR="00CD23A1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ا ما بين التطلع نحو استثمار معطيات العلوم الاجتماعية </w:t>
      </w:r>
      <w:r w:rsidR="00AD2967">
        <w:rPr>
          <w:rFonts w:ascii="Simplified Arabic" w:hAnsi="Simplified Arabic" w:cs="Simplified Arabic" w:hint="cs"/>
          <w:sz w:val="24"/>
          <w:szCs w:val="24"/>
          <w:rtl/>
          <w:lang w:bidi="ar-BH"/>
        </w:rPr>
        <w:t>و توظي</w:t>
      </w:r>
      <w:r w:rsidR="00D51C4F">
        <w:rPr>
          <w:rFonts w:ascii="Simplified Arabic" w:hAnsi="Simplified Arabic" w:cs="Simplified Arabic" w:hint="cs"/>
          <w:sz w:val="24"/>
          <w:szCs w:val="24"/>
          <w:rtl/>
          <w:lang w:bidi="ar-BH"/>
        </w:rPr>
        <w:t>ف</w:t>
      </w:r>
      <w:r w:rsidR="00AD296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ها في مدرك موضوعي، و طريقة التعاطي مع التاريخ التقليدي الذي لا يتوان حاضرا بظله الثقيل. </w:t>
      </w:r>
      <w:r w:rsidR="00172407">
        <w:rPr>
          <w:rFonts w:ascii="Simplified Arabic" w:hAnsi="Simplified Arabic" w:cs="Simplified Arabic" w:hint="cs"/>
          <w:sz w:val="24"/>
          <w:szCs w:val="24"/>
          <w:rtl/>
          <w:lang w:bidi="ar-BH"/>
        </w:rPr>
        <w:t>لكن هذا الحال لا يمكن أن يعفي المؤرخ من  التطلع نحو ممارسة الاختيار الواعي للموقف ، حيث الاستيعاب (</w:t>
      </w:r>
      <w:r w:rsidR="00172407">
        <w:rPr>
          <w:rStyle w:val="FootnoteReference"/>
          <w:rFonts w:ascii="Simplified Arabic" w:hAnsi="Simplified Arabic" w:cs="Simplified Arabic"/>
          <w:sz w:val="24"/>
          <w:szCs w:val="24"/>
          <w:rtl/>
          <w:lang w:bidi="ar-BH"/>
        </w:rPr>
        <w:footnoteReference w:id="3"/>
      </w:r>
      <w:r w:rsidR="00172407">
        <w:rPr>
          <w:rFonts w:ascii="Simplified Arabic" w:hAnsi="Simplified Arabic" w:cs="Simplified Arabic" w:hint="cs"/>
          <w:sz w:val="24"/>
          <w:szCs w:val="24"/>
          <w:rtl/>
          <w:lang w:bidi="ar-BH"/>
        </w:rPr>
        <w:t>)</w:t>
      </w:r>
      <w:r w:rsidR="00172407">
        <w:rPr>
          <w:rFonts w:ascii="Simplified Arabic" w:hAnsi="Simplified Arabic" w:cs="Simplified Arabic"/>
          <w:sz w:val="24"/>
          <w:szCs w:val="24"/>
          <w:lang w:bidi="ar-BH"/>
        </w:rPr>
        <w:t xml:space="preserve"> Assimilation</w:t>
      </w:r>
      <w:r w:rsidR="00172407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 . </w:t>
      </w:r>
    </w:p>
    <w:p w14:paraId="1595D9C1" w14:textId="77777777" w:rsidR="00CE08E2" w:rsidRDefault="00CE08E2" w:rsidP="00CE08E2">
      <w:pPr>
        <w:bidi/>
        <w:ind w:firstLine="1008"/>
        <w:jc w:val="both"/>
        <w:rPr>
          <w:rFonts w:ascii="Simplified Arabic" w:hAnsi="Simplified Arabic" w:cs="Simplified Arabic"/>
          <w:sz w:val="24"/>
          <w:szCs w:val="24"/>
          <w:rtl/>
          <w:lang w:bidi="ar-BH"/>
        </w:rPr>
      </w:pPr>
    </w:p>
    <w:p w14:paraId="2BAB3FFB" w14:textId="689E9B4E" w:rsidR="00CC75B8" w:rsidRPr="00CC75B8" w:rsidRDefault="00CC75B8" w:rsidP="00172407">
      <w:pPr>
        <w:pStyle w:val="ListParagraph"/>
        <w:bidi/>
        <w:ind w:left="360" w:firstLine="1008"/>
        <w:jc w:val="both"/>
        <w:rPr>
          <w:rFonts w:ascii="Simplified Arabic" w:hAnsi="Simplified Arabic" w:cs="Simplified Arabic"/>
          <w:sz w:val="24"/>
          <w:szCs w:val="24"/>
          <w:lang w:bidi="ar-BH"/>
        </w:rPr>
      </w:pPr>
    </w:p>
    <w:sectPr w:rsidR="00CC75B8" w:rsidRPr="00CC75B8" w:rsidSect="00503AE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2871" w14:textId="77777777" w:rsidR="002C6653" w:rsidRDefault="002C6653" w:rsidP="00632692">
      <w:pPr>
        <w:spacing w:after="0" w:line="240" w:lineRule="auto"/>
      </w:pPr>
      <w:r>
        <w:separator/>
      </w:r>
    </w:p>
  </w:endnote>
  <w:endnote w:type="continuationSeparator" w:id="0">
    <w:p w14:paraId="4C5AAA19" w14:textId="77777777" w:rsidR="002C6653" w:rsidRDefault="002C6653" w:rsidP="0063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3762" w14:textId="77777777" w:rsidR="002C6653" w:rsidRDefault="002C6653" w:rsidP="00632692">
      <w:pPr>
        <w:spacing w:after="0" w:line="240" w:lineRule="auto"/>
      </w:pPr>
      <w:r>
        <w:separator/>
      </w:r>
    </w:p>
  </w:footnote>
  <w:footnote w:type="continuationSeparator" w:id="0">
    <w:p w14:paraId="2B9DD6FB" w14:textId="77777777" w:rsidR="002C6653" w:rsidRDefault="002C6653" w:rsidP="00632692">
      <w:pPr>
        <w:spacing w:after="0" w:line="240" w:lineRule="auto"/>
      </w:pPr>
      <w:r>
        <w:continuationSeparator/>
      </w:r>
    </w:p>
  </w:footnote>
  <w:footnote w:id="1">
    <w:p w14:paraId="419EBC71" w14:textId="292D240B" w:rsidR="00D258E0" w:rsidRDefault="00D258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58E0">
        <w:t>Goldin Marcovich, G., &amp; Markovits, R. (2019). Editing the first Journal of World History: Global history from inside the kitchen. Journal of Global History, 14(2), 157-178. doi:10.1017/S1740022819000019</w:t>
      </w:r>
    </w:p>
  </w:footnote>
  <w:footnote w:id="2">
    <w:p w14:paraId="2E6798CF" w14:textId="7C21E93D" w:rsidR="00632692" w:rsidRPr="00A433D2" w:rsidRDefault="00632692" w:rsidP="00632692">
      <w:pPr>
        <w:pStyle w:val="FootnoteText"/>
        <w:rPr>
          <w:rFonts w:asciiTheme="majorBidi" w:hAnsiTheme="majorBidi" w:cstheme="majorBidi"/>
        </w:rPr>
      </w:pPr>
      <w:r w:rsidRPr="00A433D2">
        <w:rPr>
          <w:rStyle w:val="FootnoteReference"/>
          <w:rFonts w:asciiTheme="majorBidi" w:hAnsiTheme="majorBidi" w:cstheme="majorBidi"/>
        </w:rPr>
        <w:footnoteRef/>
      </w:r>
      <w:r w:rsidRPr="00A433D2">
        <w:rPr>
          <w:rFonts w:asciiTheme="majorBidi" w:hAnsiTheme="majorBidi" w:cstheme="majorBidi"/>
        </w:rPr>
        <w:t xml:space="preserve"> </w:t>
      </w:r>
      <w:r w:rsidRPr="00A433D2">
        <w:rPr>
          <w:rFonts w:asciiTheme="majorBidi" w:hAnsiTheme="majorBidi" w:cstheme="majorBidi"/>
        </w:rPr>
        <w:t xml:space="preserve">.François </w:t>
      </w:r>
      <w:r w:rsidRPr="00A433D2">
        <w:rPr>
          <w:rFonts w:asciiTheme="majorBidi" w:hAnsiTheme="majorBidi" w:cstheme="majorBidi"/>
        </w:rPr>
        <w:t xml:space="preserve">Dosse – 1994 , New History in France: The Triumph of the Annales, University of Illinois Press, p 4. </w:t>
      </w:r>
    </w:p>
  </w:footnote>
  <w:footnote w:id="3">
    <w:p w14:paraId="11439457" w14:textId="77777777" w:rsidR="00172407" w:rsidRPr="00A433D2" w:rsidRDefault="00172407" w:rsidP="00172407">
      <w:pPr>
        <w:pStyle w:val="FootnoteText"/>
        <w:rPr>
          <w:rFonts w:asciiTheme="majorBidi" w:hAnsiTheme="majorBidi" w:cstheme="majorBidi"/>
          <w:rtl/>
        </w:rPr>
      </w:pPr>
      <w:r w:rsidRPr="00A433D2">
        <w:rPr>
          <w:rStyle w:val="FootnoteReference"/>
          <w:rFonts w:asciiTheme="majorBidi" w:hAnsiTheme="majorBidi" w:cstheme="majorBidi"/>
        </w:rPr>
        <w:footnoteRef/>
      </w:r>
      <w:r w:rsidRPr="00A433D2">
        <w:rPr>
          <w:rFonts w:asciiTheme="majorBidi" w:hAnsiTheme="majorBidi" w:cstheme="majorBidi"/>
        </w:rPr>
        <w:t xml:space="preserve">.Clifford Wilcox – 2006, Robert Redfield and the Development of American Anthropology , </w:t>
      </w:r>
      <w:r w:rsidRPr="00A433D2">
        <w:rPr>
          <w:rFonts w:asciiTheme="majorBidi" w:hAnsiTheme="majorBidi" w:cstheme="majorBidi"/>
        </w:rPr>
        <w:t xml:space="preserve">Lenxinngton Books, New York, p 48.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E45"/>
    <w:multiLevelType w:val="hybridMultilevel"/>
    <w:tmpl w:val="4E9E5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EE"/>
    <w:rsid w:val="0001659E"/>
    <w:rsid w:val="000C275C"/>
    <w:rsid w:val="00147BF5"/>
    <w:rsid w:val="00172407"/>
    <w:rsid w:val="002C6653"/>
    <w:rsid w:val="003204C5"/>
    <w:rsid w:val="00367B61"/>
    <w:rsid w:val="00401E58"/>
    <w:rsid w:val="00503AE1"/>
    <w:rsid w:val="00505D46"/>
    <w:rsid w:val="005066DD"/>
    <w:rsid w:val="005679E4"/>
    <w:rsid w:val="00622CCB"/>
    <w:rsid w:val="00632692"/>
    <w:rsid w:val="00796D2F"/>
    <w:rsid w:val="00825CFF"/>
    <w:rsid w:val="00863237"/>
    <w:rsid w:val="00873EF9"/>
    <w:rsid w:val="008778D8"/>
    <w:rsid w:val="008A54BB"/>
    <w:rsid w:val="008B2FA3"/>
    <w:rsid w:val="008F00B3"/>
    <w:rsid w:val="009F1EF5"/>
    <w:rsid w:val="00A433D2"/>
    <w:rsid w:val="00A66DF8"/>
    <w:rsid w:val="00AD2967"/>
    <w:rsid w:val="00B770B6"/>
    <w:rsid w:val="00B939EE"/>
    <w:rsid w:val="00BB603C"/>
    <w:rsid w:val="00BD651A"/>
    <w:rsid w:val="00C109A9"/>
    <w:rsid w:val="00C76747"/>
    <w:rsid w:val="00CC75B8"/>
    <w:rsid w:val="00CD23A1"/>
    <w:rsid w:val="00CE08E2"/>
    <w:rsid w:val="00CF2053"/>
    <w:rsid w:val="00D258E0"/>
    <w:rsid w:val="00D51C4F"/>
    <w:rsid w:val="00DB4D09"/>
    <w:rsid w:val="00DF7E82"/>
    <w:rsid w:val="00E110A3"/>
    <w:rsid w:val="00E2288A"/>
    <w:rsid w:val="00F456EE"/>
    <w:rsid w:val="00FA2C6C"/>
    <w:rsid w:val="00FC2DE4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E3B9"/>
  <w15:chartTrackingRefBased/>
  <w15:docId w15:val="{78B144F6-CEE7-4324-88F6-E5672D13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2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6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dmd">
    <w:name w:val="addmd"/>
    <w:basedOn w:val="DefaultParagraphFont"/>
    <w:rsid w:val="00A4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5984E5-88E1-4916-96A5-BF3D8BCF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Noori</dc:creator>
  <cp:keywords/>
  <dc:description/>
  <cp:lastModifiedBy>Zainab Abdulwahab Isa Abdulla Darwish</cp:lastModifiedBy>
  <cp:revision>2</cp:revision>
  <dcterms:created xsi:type="dcterms:W3CDTF">2021-04-08T05:44:00Z</dcterms:created>
  <dcterms:modified xsi:type="dcterms:W3CDTF">2021-04-08T05:44:00Z</dcterms:modified>
</cp:coreProperties>
</file>